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D1B2A"/>
          <w:sz w:val="72"/>
          <w:szCs w:val="72"/>
        </w:rPr>
        <w:t xml:space="preserve">AI-FI.trade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0A8CC"/>
          <w:sz w:val="36"/>
          <w:szCs w:val="36"/>
        </w:rPr>
        <w:t xml:space="preserve">TOKEN AIFX — GUIDE OFFICIEL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546E7A"/>
          <w:sz w:val="24"/>
          <w:szCs w:val="24"/>
        </w:rPr>
        <w:t xml:space="preserve">Comment ajouter, vérifier et tirer profit de votre token sur Solana</w:t>
      </w:r>
    </w:p>
    <w:p>
      <w:pPr>
        <w:spacing w:after="160"/>
      </w:pPr>
      <w:r>
        <w:t xml:space="preserve"/>
      </w:r>
    </w:p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00"/>
      </w:tblGrid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Token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AI-FI Token (AIFX)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Blockchain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Solana Mainnet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Mint Address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2ppVYZCBCBzyMEn1Ff9SgUqJCGskZiUij1kzj6kcFTjx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Supply total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100 000 000 AIFX — fixe et immuable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Prix prévente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0,01 $ — avantage ×100 au lancement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Prix lancement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1,00 $ — Palier P1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Standard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SPL Token (Solana Program Library)</w:t>
            </w:r>
          </w:p>
        </w:tc>
      </w:tr>
    </w:tbl>
    <w:p>
      <w:pPr>
        <w:spacing w:after="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546E7A"/>
          <w:sz w:val="18"/>
          <w:szCs w:val="18"/>
        </w:rPr>
        <w:t xml:space="preserve">Version 1.0  ·  Juin 2026  ·  ai-fi.trade</w:t>
      </w:r>
    </w:p>
    <w:p>
      <w:r>
        <w:br w:type="pag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1. Qu'est-ce que le Token AIFX ?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Le token AIFX est le token utilitaire officiel de l'écosystème AI-FI.trade, déployé sur la blockchain Solana au standard SPL. Il donne accès aux services, à la gouvernance DAO et aux avantages économiques de la plateforme.</w:t>
      </w:r>
    </w:p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8DC" w:sz="1"/>
              <w:left w:val="single" w:color="00A8CC" w:sz="8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Contrat officiel — à vérifier impérativement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Mint Address : 2ppVYZCBCBzyMEn1Ff9SgUqJCGskZiUij1kzj6kcFTjx
Cette adresse est unique et immuable. Vérifiez-la toujours sur Solana Explorer avant tout achat ou transfert.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1.1 Caractéristiques techniques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Nom complet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AI-FI Token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Ticker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AIFX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Blockchain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Solana Mainnet Beta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Standard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SPL Token (Solana Program Library)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Supply total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100 000 000 AIFX — fixe et immuable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Mint Address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2ppVYZCBCBzyMEn1Ff9SgUqJCGskZiUij1kzj6kcFTjx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Explorer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https://explorer.solana.com</w:t>
            </w:r>
          </w:p>
        </w:tc>
      </w:tr>
      <w:tr>
        <w:tc>
          <w:tcPr>
            <w:tcW w:type="dxa" w:w="30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Solscan</w:t>
            </w:r>
          </w:p>
        </w:tc>
        <w:tc>
          <w:tcPr>
            <w:tcW w:type="dxa" w:w="63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https://solscan.io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2. Avantages de détenir le Token AIFX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Détenir des tokens AIFX vous donne accès à un ensemble d'avantages structurels conçus pour récompenser les membres fondateurs et les leaders à long terme.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💰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Potentiel de valorisation ×100 au lancement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Les acheteurs prévente à 0,01$ obtiennent leurs tokens avant le lancement officiel à 1,00$. Un achat de 1 000$ en prévente = 100 000 AIFX. Au lancement à 1$ = valeur de 100 000$.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🗳️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Droits de vote DAO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Chaque token AIFX = 1 unité de poids dans les votes de gouvernance. Les membres participent aux décisions : allocation trésorerie, prix abonnement, smart contracts, roadmap.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🔥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Buyback mensuel automatique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Le 1er de chaque mois, le smart contract rachète des tokens et les détruit. 50% des revenus de la fondation alimentent ce programme. Supply décroissant = rareté croissante = pression haussière mécanique.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📈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Paliers de prix ×2 — progression garantie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Prix doublé automatiquement à chaque million de tokens vendus. P1: 1$ → P3: 4$ → P5: 16$ → P7: 64$ → P10: 512$. Chaque palier est déclenché par l'adoption réelle, pas la spéculation.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🏦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Listing Exchange automatique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Dès la complétion des 2 stages de prévente (10M à 0,01$ + 10M à 0,10$), le token AIFX est listé sur les exchanges partenaires. Liquidité immédiate garantie pour tous les détenteurs.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🤖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Accès aux agents IA de trading 24/7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Les membres fondateurs accèdent aux 4 agents live : Gold XAUUSD, BTC, 508 Altcoins, Polymarket. 100% des profits leur appartiennent. Agents déjà opérationnels avec performances validées.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📂</w:t>
            </w:r>
          </w:p>
        </w:tc>
        <w:tc>
          <w:tcPr>
            <w:tcW w:type="dxa" w:w="8760"/>
            <w:tcBorders>
              <w:top w:val="none" w:color="FFFFFF" w:sz="0"/>
              <w:left w:val="single" w:color="E6A817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Accès au code source GitHub privé</w:t>
            </w:r>
          </w:p>
          <w:p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Les leaders fondateurs (100 000 tokens activés) et membres fondateurs ont accès au repository privé contenant le code source complet — agents IA, smart contracts, dashboard.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3. Ajouter le Token AIFX sur Phantom (Mobile)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Phantom est le wallet Solana officiel recommandé pour AI-FI.trade. Suivez ce guide illustré étape par étape pour ajouter votre token AIFX sur l'application mobile.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8DC" w:sz="1"/>
              <w:left w:val="single" w:color="E6A817" w:sz="8"/>
              <w:bottom w:val="single" w:color="CFD8DC" w:sz="1"/>
              <w:right w:val="single" w:color="CFD8DC" w:sz="1"/>
            </w:tcBorders>
            <w:shd w:fill="FFF8E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Téléchargement officiel Phantom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iOS : App Store → rechercher 'Phantom Crypto Wallet'
Android : Google Play → rechercher 'Phantom Crypto Wallet'
Site officiel : phantom.app
Ne jamais installer depuis un lien envoyé par message ou sur un site non officiel.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Étape 1 — Ouvrir votre liste de tokens et appuyer sur +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3105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  <w:vAlign w:val="center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Sur l'écran principal de Phantom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Ouvrez l'application Phantom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Vous voyez votre solde et la liste de vos tokens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En bas à droite de l'écran, appuyez sur le bouton  +  (cercle violet)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Sur certaines versions : faites défiler vers le bas et appuyez sur 'Gérer la liste de tokens'</w:t>
            </w:r>
          </w:p>
          <w:p>
            <w:pPr>
              <w:spacing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546E7A"/>
                <w:sz w:val="20"/>
                <w:szCs w:val="20"/>
              </w:rPr>
              <w:t xml:space="preserve">Le bouton + vous amène directement à l'écran de recherche de tokens.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Étape 2 — Coller l'adresse du Mint AIFX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3105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  <w:vAlign w:val="center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Dans l'écran 'Add Token'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Copiez l'adresse exacte du mint AIFX :</w:t>
            </w:r>
          </w:p>
          <w:p>
            <w:pPr>
              <w:spacing w:after="40"/>
            </w:pPr>
            <w:r>
              <w:t xml:space="preserve"/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c>
                <w:tcPr>
                  <w:tcW w:type="dxa" w:w="9360"/>
                  <w:tcBorders>
                    <w:top w:val="single" w:color="CFD8DC" w:sz="1"/>
                    <w:left w:val="single" w:color="00A8CC" w:sz="8"/>
                    <w:bottom w:val="single" w:color="CFD8DC" w:sz="1"/>
                    <w:right w:val="single" w:color="CFD8DC" w:sz="1"/>
                  </w:tcBorders>
                  <w:shd w:fill="E8F4FD" w:val="clear"/>
                  <w:tcMar>
                    <w:top w:type="dxa" w:w="120"/>
                    <w:left w:type="dxa" w:w="200"/>
                    <w:bottom w:type="dxa" w:w="120"/>
                    <w:right w:type="dxa" w:w="200"/>
                  </w:tcMar>
                </w:tcPr>
                <w:p>
                  <w:pPr>
                    <w:spacing w:after="6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D1B2A"/>
                      <w:sz w:val="22"/>
                      <w:szCs w:val="22"/>
                    </w:rPr>
                    <w:t xml:space="preserve">Adresse à copier</w:t>
                  </w:r>
                </w:p>
                <w:p>
                  <w:r>
                    <w:rPr>
                      <w:rFonts w:ascii="Arial" w:cs="Arial" w:eastAsia="Arial" w:hAnsi="Arial"/>
                      <w:color w:val="1A2B3C"/>
                      <w:sz w:val="21"/>
                      <w:szCs w:val="21"/>
                    </w:rPr>
                    <w:t xml:space="preserve">2ppVYZCBCBzyMEn1Ff9SgUqJCGskZiUij1kzj6kcFTjx</w:t>
                  </w:r>
                </w:p>
              </w:tc>
            </w:tr>
          </w:tbl>
          <w:p>
            <w:pPr>
              <w:spacing w:after="8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Collez cette adresse dans la barre de recherche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Phantom charge automatiquement les informations du token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Vérifiez que le nom affiché est 'AI-FI Token' et le ticker 'AIFX'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Appuyez sur 'Add' pour confirmer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Étape 3 — Token AIFX ajouté avec succès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3105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  <w:vAlign w:val="center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0897B"/>
                <w:sz w:val="22"/>
                <w:szCs w:val="22"/>
              </w:rPr>
              <w:t xml:space="preserve">Félicitations — votre token AIFX est visible !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Le token AI-FI Token (AIFX) apparaît dans votre liste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Votre solde AIFX s'affiche en temps réel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Vous pouvez envoyer ou recevoir des AIFX depuis cet écran</w:t>
            </w:r>
          </w:p>
          <w:p>
            <w:pPr>
              <w:spacing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546E7A"/>
                <w:sz w:val="20"/>
                <w:szCs w:val="20"/>
              </w:rPr>
              <w:t xml:space="preserve">Si le token n'apparaît pas immédiatement, fermez et rouvrez Phantom. Le solde se synchronise avec la blockchain Solana.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4. Ajouter le Token AIFX sur Phantom (Extension Chrome)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Si vous utilisez Phantom comme extension de navigateur Chrome, la procédure est légèrement différente.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Étape 1 — Ouvrir le menu de l'extension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2476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  <w:vAlign w:val="center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Dans l'extension Phantom (Chrome)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Cliquez sur l'icône Phantom dans votre barre d'extensions Chrome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En haut à droite de la fenêtre, cliquez sur les trois points  ⋮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Un menu déroulant s'affiche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A2B3C"/>
                <w:sz w:val="22"/>
                <w:szCs w:val="22"/>
              </w:rPr>
              <w:t xml:space="preserve">Cliquez sur 'Manage Tokens' (Gérer les tokens)</w:t>
            </w:r>
          </w:p>
          <w:p>
            <w:pPr>
              <w:spacing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546E7A"/>
                <w:sz w:val="20"/>
                <w:szCs w:val="20"/>
              </w:rPr>
              <w:t xml:space="preserve">Si vous ne voyez pas 'Manage Tokens', cherchez 'Token List' ou 'Trusted tokens' selon votre version de Phantom.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Étape 2 — Rechercher et ajouter AIFX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Ouvrir la liste des tokens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Dans 'Manage Tokens', vous verrez une liste de tokens connus. Cherchez un bouton 'Add token' ou un champ de recherche.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2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Coller l'adresse mint AIFX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Dans le champ de recherche, collez : 2ppVYZCBCBzyMEn1Ff9SgUqJCGskZiUij1kzj6kcFTjx. Phantom va automatiquement identifier le token.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3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Activer le token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Cochez la case ou activez le toggle à côté de 'AI-FI Token (AIFX)'. Cliquez sur 'Save' ou 'Confirm'.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4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Vérifier sur la page d'accueil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Retournez sur l'écran principal. AIFX apparaît maintenant dans votre liste avec votre solde.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5. Vérifier votre solde sur Solana Explorer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Vous pouvez vérifier votre solde AIFX directement sur la blockchain, sans passer par Phantom.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Aller sur Solana Explorer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Rendez-vous sur https://explorer.solana.com. Assurez-vous d'être sur 'Mainnet Beta' (indiqué en haut à droite).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2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Entrer votre adresse wallet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Dans la barre de recherche, collez l'adresse de votre wallet Phantom (commence par une lettre majuscule, ~44 caractères).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3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Onglet 'Tokens'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Sur la page de votre wallet, cliquez sur l'onglet 'Tokens'. Vous verrez tous vos tokens SPL, dont AIFX avec votre solde exact.</w:t>
            </w:r>
          </w:p>
        </w:tc>
      </w:tr>
      <w:tr>
        <w:tc>
          <w:tcPr>
            <w:tcW w:type="dxa" w:w="8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4</w:t>
            </w:r>
          </w:p>
        </w:tc>
        <w:tc>
          <w:tcPr>
            <w:tcW w:type="dxa" w:w="8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0D1B2A"/>
                <w:sz w:val="23"/>
                <w:szCs w:val="23"/>
              </w:rPr>
              <w:t xml:space="preserve">Vérifier la transaction de réception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Cliquez sur 'Transactions' pour voir l'historique complet. Chaque transfert de tokens AIFX est visible avec l'horodatage et le montant.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8DC" w:sz="1"/>
              <w:left w:val="single" w:color="00A8CC" w:sz="8"/>
              <w:bottom w:val="single" w:color="CFD8DC" w:sz="1"/>
              <w:right w:val="single" w:color="CFD8DC" w:sz="1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URL directe du token AIFX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Explorer : https://explorer.solana.com/address/2ppVYZCBCBzyMEn1Ff9SgUqJCGskZiUij1kzj6kcFTjx
Solscan  : https://solscan.io/token/2ppVYZCBCBzyMEn1Ff9SgUqJCGskZiUij1kzj6kcFTjx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6. Stages de Prévente et Listing Exchange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Le listing exchange est déclenché automatiquement dès la complétion des 2 stages de prévente. Voici la mécanique complète.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2400"/>
        <w:gridCol w:w="1680"/>
        <w:gridCol w:w="1680"/>
      </w:tblGrid>
      <w:tr>
        <w:tc>
          <w:tcPr>
            <w:tcW w:type="dxa" w:w="1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Stage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Type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Tokens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Prix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Avantage</w:t>
            </w:r>
          </w:p>
        </w:tc>
      </w:tr>
      <w:tr>
        <w:tc>
          <w:tcPr>
            <w:tcW w:type="dxa" w:w="1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Stage 1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Prévente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10 000 000 AIFX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1"/>
                <w:szCs w:val="21"/>
              </w:rPr>
              <w:t xml:space="preserve">0,01 $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1"/>
                <w:szCs w:val="21"/>
              </w:rPr>
              <w:t xml:space="preserve">×100</w:t>
            </w:r>
          </w:p>
        </w:tc>
      </w:tr>
      <w:tr>
        <w:tc>
          <w:tcPr>
            <w:tcW w:type="dxa" w:w="1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8E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1"/>
                <w:szCs w:val="21"/>
              </w:rPr>
              <w:t xml:space="preserve">Stage 2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8E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Vente Publique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8E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10 000 000 AIFX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8E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A817"/>
                <w:sz w:val="21"/>
                <w:szCs w:val="21"/>
              </w:rPr>
              <w:t xml:space="preserve">0,10 $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8E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A817"/>
                <w:sz w:val="21"/>
                <w:szCs w:val="21"/>
              </w:rPr>
              <w:t xml:space="preserve">×10</w:t>
            </w:r>
          </w:p>
        </w:tc>
      </w:tr>
      <w:tr>
        <w:tc>
          <w:tcPr>
            <w:tcW w:type="dxa" w:w="1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Listing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Exchanges partenaires</w:t>
            </w:r>
          </w:p>
        </w:tc>
        <w:tc>
          <w:tcPr>
            <w:tcW w:type="dxa" w:w="24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Dès Stage 2 complété — automatique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CC"/>
                <w:sz w:val="21"/>
                <w:szCs w:val="21"/>
              </w:rPr>
              <w:t xml:space="preserve">1,00 $</w:t>
            </w:r>
          </w:p>
        </w:tc>
        <w:tc>
          <w:tcPr>
            <w:tcW w:type="dxa" w:w="168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A8CC"/>
                <w:sz w:val="21"/>
                <w:szCs w:val="21"/>
              </w:rPr>
              <w:t xml:space="preserve">Palier P1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7. Paliers de Prix ×2</w:t>
      </w:r>
    </w:p>
    <w:p>
      <w:pPr>
        <w:spacing w:after="120"/>
      </w:pPr>
      <w:r>
        <w:rPr>
          <w:rFonts w:ascii="Arial" w:cs="Arial" w:eastAsia="Arial" w:hAnsi="Arial"/>
          <w:color w:val="1A2B3C"/>
          <w:sz w:val="22"/>
          <w:szCs w:val="22"/>
        </w:rPr>
        <w:t xml:space="preserve">Chaque million de tokens vendus déclenche automatiquement une multiplication ×2 du prix. La croissance est ancrée à l'adoption réelle.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100"/>
        <w:gridCol w:w="1560"/>
        <w:gridCol w:w="2200"/>
        <w:gridCol w:w="2600"/>
      </w:tblGrid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Palier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Tokens vendus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Prix AIFX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Market Cap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 10k tokens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P1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0 → 1M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1,00 $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100 M$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10 000 $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P2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1M → 2M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2,00 $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200 M$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20 000 $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P3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2M → 3M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4,00 $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400 M$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40 000 $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P4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3M → 4M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8,00 $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800 M$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80 000 $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P5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4M → 5M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16,00 $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1,6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160 000 $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P6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5M → 6M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32,00 $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3,2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320 000 $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P7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6M → 7M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64,00 $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6,4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640 000 $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P8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7M → 8M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128,00 $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12,8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1 280 000 $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P9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8M → 9M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256,00 $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25,6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2 560 000 $</w:t>
            </w:r>
          </w:p>
        </w:tc>
      </w:tr>
      <w:tr>
        <w:tc>
          <w:tcPr>
            <w:tcW w:type="dxa" w:w="9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1B2A"/>
                <w:sz w:val="20"/>
                <w:szCs w:val="20"/>
              </w:rPr>
              <w:t xml:space="preserve">P10</w:t>
            </w:r>
          </w:p>
        </w:tc>
        <w:tc>
          <w:tcPr>
            <w:tcW w:type="dxa" w:w="21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9M → 10M</w:t>
            </w:r>
          </w:p>
        </w:tc>
        <w:tc>
          <w:tcPr>
            <w:tcW w:type="dxa" w:w="156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897B"/>
                <w:sz w:val="20"/>
                <w:szCs w:val="20"/>
              </w:rPr>
              <w:t xml:space="preserve">512,00 $</w:t>
            </w:r>
          </w:p>
        </w:tc>
        <w:tc>
          <w:tcPr>
            <w:tcW w:type="dxa" w:w="22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3C"/>
                <w:sz w:val="20"/>
                <w:szCs w:val="20"/>
              </w:rPr>
              <w:t xml:space="preserve">51,2 Md$</w:t>
            </w:r>
          </w:p>
        </w:tc>
        <w:tc>
          <w:tcPr>
            <w:tcW w:type="dxa" w:w="2600"/>
            <w:tcBorders>
              <w:top w:val="single" w:color="CFD8DC" w:sz="1"/>
              <w:left w:val="single" w:color="CFD8DC" w:sz="1"/>
              <w:bottom w:val="single" w:color="CFD8DC" w:sz="1"/>
              <w:right w:val="single" w:color="CFD8D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5 120 000 $</w:t>
            </w:r>
          </w:p>
        </w:tc>
      </w:tr>
    </w:tbl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546E7A"/>
          <w:sz w:val="20"/>
          <w:szCs w:val="20"/>
        </w:rPr>
        <w:t xml:space="preserve">→  Les 10 000 tokens correspondent à la dotation d'un membre fondateur (1 position à 500$). Un leader fondateur (100 000 tokens) multiplie ces valeurs par 10.</w:t>
      </w:r>
    </w:p>
    <w:p>
      <w:pPr>
        <w:spacing w:after="200"/>
      </w:pPr>
      <w:r>
        <w:t xml:space="preserve"/>
      </w:r>
    </w:p>
    <w:p>
      <w:pPr>
        <w:pStyle w:val="Heading1"/>
        <w:pBdr>
          <w:bottom w:val="single" w:color="00A8CC" w:sz="4" w:space="6"/>
        </w:pBdr>
        <w:spacing w:after="160" w:before="400"/>
      </w:pPr>
      <w:r>
        <w:rPr>
          <w:rFonts w:ascii="Arial" w:cs="Arial" w:eastAsia="Arial" w:hAnsi="Arial"/>
          <w:b/>
          <w:bCs/>
          <w:color w:val="0D1B2A"/>
          <w:sz w:val="36"/>
          <w:szCs w:val="36"/>
        </w:rPr>
        <w:t xml:space="preserve">8. Sécurité — Évitez les arnaques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FD8DC" w:sz="1"/>
              <w:left w:val="single" w:color="E6A817" w:sz="8"/>
              <w:bottom w:val="single" w:color="CFD8DC" w:sz="1"/>
              <w:right w:val="single" w:color="CFD8DC" w:sz="1"/>
            </w:tcBorders>
            <w:shd w:fill="FFF3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Règles absolues à respecter</w:t>
            </w:r>
          </w:p>
          <w:p>
            <w:r>
              <w:rPr>
                <w:rFonts w:ascii="Arial" w:cs="Arial" w:eastAsia="Arial" w:hAnsi="Arial"/>
                <w:color w:val="1A2B3C"/>
                <w:sz w:val="21"/>
                <w:szCs w:val="21"/>
              </w:rPr>
              <w:t xml:space="preserve">1. L'adresse officielle du token est UNIQUE : 2ppVYZCBCBzyMEn1Ff9SgUqJCGskZiUij1kzj6kcFTjx
2. Ne jamais approuver une transaction envoyée spontanément dans votre wallet.
3. Ne jamais partager votre phrase secrète de 12 mots — même avec l'équipe AI-FI.
4. Toujours vérifier l'adresse du token sur Solana Explorer avant d'acheter.
5. Canaux officiels uniquement : ai-fi.trade · t.me/AIFIOfficial · discord.gg/ZMGwcWuecZ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top w:val="single" w:color="00A8CC" w:sz="4" w:space="8"/>
        </w:pBdr>
        <w:spacing w:after="80" w:before="200"/>
        <w:jc w:val="center"/>
      </w:pPr>
      <w:r>
        <w:rPr>
          <w:rFonts w:ascii="Arial" w:cs="Arial" w:eastAsia="Arial" w:hAnsi="Arial"/>
          <w:color w:val="546E7A"/>
          <w:sz w:val="18"/>
          <w:szCs w:val="18"/>
        </w:rPr>
        <w:t xml:space="preserve">AI-FI.trade — Token AIFX — Guide Officiel v1.0</w:t>
      </w:r>
    </w:p>
    <w:p>
      <w:pPr>
        <w:spacing w:after="60"/>
        <w:jc w:val="center"/>
      </w:pPr>
      <w:r>
        <w:rPr>
          <w:rFonts w:ascii="Arial" w:cs="Arial" w:eastAsia="Arial" w:hAnsi="Arial"/>
          <w:color w:val="546E7A"/>
          <w:sz w:val="18"/>
          <w:szCs w:val="18"/>
        </w:rPr>
        <w:t xml:space="preserve">ai-fi.trade  ·  t.me/AIFIOfficial  ·  discord.gg/ZMGwcWuecZ</w:t>
      </w:r>
    </w:p>
    <w:p>
      <w:pPr>
        <w:jc w:val="center"/>
      </w:pPr>
      <w:r>
        <w:rPr>
          <w:rFonts w:ascii="Arial" w:cs="Arial" w:eastAsia="Arial" w:hAnsi="Arial"/>
          <w:i/>
          <w:iCs/>
          <w:color w:val="546E7A"/>
          <w:sz w:val="16"/>
          <w:szCs w:val="16"/>
        </w:rPr>
        <w:t xml:space="preserve">Mint : 2ppVYZCBCBzyMEn1Ff9SgUqJCGskZiUij1kzj6kcFTjx</w:t>
      </w:r>
    </w:p>
    <w:sectPr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B3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0D1B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B4F8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e8c9ffcee1e486936f402a08ac1926880619e82.png"/><Relationship Id="rId8" Type="http://schemas.openxmlformats.org/officeDocument/2006/relationships/image" Target="media/e4a6ad84356557c6ac6fe2e48e9261157d517119.png"/><Relationship Id="rId9" Type="http://schemas.openxmlformats.org/officeDocument/2006/relationships/image" Target="media/08ca45481eb136a6dd5bb3c6b3213750996d5a83.png"/><Relationship Id="rId10" Type="http://schemas.openxmlformats.org/officeDocument/2006/relationships/image" Target="media/7fae4b66b19cc5fad27e4ca37ebd13487393b061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2026-05-05T17:16:16.651Z</dcterms:created>
  <dcterms:modified xsi:type="dcterms:W3CDTF">2026-05-05T17:16:16.652Z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